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6D5D" w14:textId="1EF74379" w:rsidR="00CB4F94" w:rsidRPr="006C621B" w:rsidRDefault="00CB4F94" w:rsidP="00CB4F94">
      <w:pPr>
        <w:spacing w:after="0" w:line="240" w:lineRule="auto"/>
        <w:rPr>
          <w:rFonts w:ascii="Arial" w:hAnsi="Arial" w:cs="Arial"/>
        </w:rPr>
      </w:pPr>
      <w:r w:rsidRPr="006C621B">
        <w:rPr>
          <w:rFonts w:ascii="Arial" w:hAnsi="Arial" w:cs="Arial"/>
        </w:rPr>
        <w:t xml:space="preserve">Beste </w:t>
      </w:r>
      <w:r w:rsidR="004B238B">
        <w:rPr>
          <w:rFonts w:ascii="Arial" w:hAnsi="Arial" w:cs="Arial"/>
        </w:rPr>
        <w:t xml:space="preserve">student en </w:t>
      </w:r>
      <w:r w:rsidRPr="006C621B">
        <w:rPr>
          <w:rFonts w:ascii="Arial" w:hAnsi="Arial" w:cs="Arial"/>
        </w:rPr>
        <w:t xml:space="preserve">docent </w:t>
      </w:r>
      <w:r w:rsidR="00AA0641">
        <w:rPr>
          <w:rFonts w:ascii="Arial" w:hAnsi="Arial" w:cs="Arial"/>
        </w:rPr>
        <w:t>MBA</w:t>
      </w:r>
      <w:r w:rsidR="00FC329B">
        <w:rPr>
          <w:rFonts w:ascii="Arial" w:hAnsi="Arial" w:cs="Arial"/>
        </w:rPr>
        <w:t xml:space="preserve"> BA</w:t>
      </w:r>
      <w:r w:rsidRPr="006C621B">
        <w:rPr>
          <w:rFonts w:ascii="Arial" w:hAnsi="Arial" w:cs="Arial"/>
        </w:rPr>
        <w:t>,</w:t>
      </w:r>
    </w:p>
    <w:p w14:paraId="494E52BD" w14:textId="77777777" w:rsidR="00CB4F94" w:rsidRPr="006C621B" w:rsidRDefault="00CB4F94" w:rsidP="00CB4F94">
      <w:pPr>
        <w:spacing w:after="0" w:line="240" w:lineRule="auto"/>
        <w:rPr>
          <w:rFonts w:ascii="Arial" w:hAnsi="Arial" w:cs="Arial"/>
        </w:rPr>
      </w:pPr>
    </w:p>
    <w:p w14:paraId="3D7C304E" w14:textId="77777777" w:rsidR="00992EFD" w:rsidRPr="006C621B" w:rsidRDefault="00992EFD" w:rsidP="00992EFD">
      <w:pPr>
        <w:spacing w:after="0" w:line="240" w:lineRule="auto"/>
        <w:rPr>
          <w:rFonts w:ascii="Arial" w:hAnsi="Arial" w:cs="Arial"/>
        </w:rPr>
      </w:pPr>
      <w:r w:rsidRPr="006C621B">
        <w:rPr>
          <w:rFonts w:ascii="Arial" w:hAnsi="Arial" w:cs="Arial"/>
        </w:rPr>
        <w:t xml:space="preserve">In dit document vindt u een overzicht van het examenprogramma van de Associatie voor Examinering. Bij dit overzicht is aangegeven waar de </w:t>
      </w:r>
      <w:proofErr w:type="spellStart"/>
      <w:r w:rsidRPr="006C621B">
        <w:rPr>
          <w:rFonts w:ascii="Arial" w:hAnsi="Arial" w:cs="Arial"/>
        </w:rPr>
        <w:t>toetstermen</w:t>
      </w:r>
      <w:proofErr w:type="spellEnd"/>
      <w:r w:rsidRPr="006C621B">
        <w:rPr>
          <w:rFonts w:ascii="Arial" w:hAnsi="Arial" w:cs="Arial"/>
        </w:rPr>
        <w:t xml:space="preserve"> behandeld worden in het theorieboek.</w:t>
      </w:r>
    </w:p>
    <w:p w14:paraId="6055F694" w14:textId="77777777" w:rsidR="00992EFD" w:rsidRPr="006C621B" w:rsidRDefault="00992EFD" w:rsidP="00992EFD">
      <w:pPr>
        <w:spacing w:after="0" w:line="240" w:lineRule="auto"/>
        <w:rPr>
          <w:rFonts w:ascii="Arial" w:hAnsi="Arial" w:cs="Arial"/>
          <w:b/>
        </w:rPr>
      </w:pPr>
    </w:p>
    <w:p w14:paraId="5CE1683A" w14:textId="77777777" w:rsidR="00992EFD" w:rsidRPr="006C621B" w:rsidRDefault="00992EFD" w:rsidP="00992EFD">
      <w:pPr>
        <w:spacing w:after="0" w:line="240" w:lineRule="auto"/>
        <w:rPr>
          <w:rFonts w:ascii="Arial" w:hAnsi="Arial" w:cs="Arial"/>
          <w:b/>
        </w:rPr>
      </w:pPr>
      <w:r w:rsidRPr="006C621B">
        <w:rPr>
          <w:rFonts w:ascii="Arial" w:hAnsi="Arial" w:cs="Arial"/>
          <w:b/>
        </w:rPr>
        <w:t>Examenprogramma Associatie voor Examinering</w:t>
      </w:r>
    </w:p>
    <w:p w14:paraId="4E685874" w14:textId="385134FE" w:rsidR="00992EFD" w:rsidRPr="006C621B" w:rsidRDefault="00992EFD" w:rsidP="00992EFD">
      <w:pPr>
        <w:spacing w:after="0" w:line="240" w:lineRule="auto"/>
        <w:rPr>
          <w:rFonts w:ascii="Arial" w:hAnsi="Arial" w:cs="Arial"/>
        </w:rPr>
      </w:pPr>
      <w:r w:rsidRPr="006C621B">
        <w:rPr>
          <w:rFonts w:ascii="Arial" w:hAnsi="Arial" w:cs="Arial"/>
        </w:rPr>
        <w:t xml:space="preserve">Versie </w:t>
      </w:r>
      <w:r w:rsidR="00255823">
        <w:rPr>
          <w:rFonts w:ascii="Arial" w:hAnsi="Arial" w:cs="Arial"/>
        </w:rPr>
        <w:t>6</w:t>
      </w:r>
      <w:r w:rsidR="006C742A" w:rsidRPr="006C621B">
        <w:rPr>
          <w:rFonts w:ascii="Arial" w:hAnsi="Arial" w:cs="Arial"/>
        </w:rPr>
        <w:t>.</w:t>
      </w:r>
      <w:r w:rsidR="00CD3BDA">
        <w:rPr>
          <w:rFonts w:ascii="Arial" w:hAnsi="Arial" w:cs="Arial"/>
        </w:rPr>
        <w:t>2</w:t>
      </w:r>
      <w:r w:rsidRPr="006C621B">
        <w:rPr>
          <w:rFonts w:ascii="Arial" w:hAnsi="Arial" w:cs="Arial"/>
        </w:rPr>
        <w:t xml:space="preserve"> geldig vanaf </w:t>
      </w:r>
      <w:r w:rsidR="00CD3BDA">
        <w:rPr>
          <w:rFonts w:ascii="Arial" w:hAnsi="Arial" w:cs="Arial"/>
        </w:rPr>
        <w:t>01-11-2022</w:t>
      </w:r>
    </w:p>
    <w:p w14:paraId="512E395D" w14:textId="77777777" w:rsidR="001E25C4" w:rsidRPr="006C621B" w:rsidRDefault="001E25C4" w:rsidP="00CB4F94">
      <w:pPr>
        <w:spacing w:after="0" w:line="240" w:lineRule="auto"/>
        <w:rPr>
          <w:rFonts w:ascii="Arial" w:hAnsi="Arial" w:cs="Arial"/>
        </w:rPr>
      </w:pPr>
    </w:p>
    <w:p w14:paraId="755B7495" w14:textId="77777777" w:rsidR="00FC3C1C" w:rsidRPr="006C621B" w:rsidRDefault="00FC3C1C" w:rsidP="00FC3C1C">
      <w:pPr>
        <w:spacing w:after="0" w:line="240" w:lineRule="auto"/>
        <w:rPr>
          <w:rFonts w:ascii="Arial" w:hAnsi="Arial" w:cs="Arial"/>
        </w:rPr>
      </w:pPr>
      <w:r w:rsidRPr="006C621B">
        <w:rPr>
          <w:rFonts w:ascii="Arial" w:hAnsi="Arial" w:cs="Arial"/>
        </w:rPr>
        <w:t>K= kennisvragen B=begripsvragen T=Toepassingsvragen A= Analyse vragen</w:t>
      </w:r>
    </w:p>
    <w:tbl>
      <w:tblPr>
        <w:tblStyle w:val="Tabelraster"/>
        <w:tblW w:w="9072" w:type="dxa"/>
        <w:tblLayout w:type="fixed"/>
        <w:tblLook w:val="04A0" w:firstRow="1" w:lastRow="0" w:firstColumn="1" w:lastColumn="0" w:noHBand="0" w:noVBand="1"/>
      </w:tblPr>
      <w:tblGrid>
        <w:gridCol w:w="704"/>
        <w:gridCol w:w="5958"/>
        <w:gridCol w:w="388"/>
        <w:gridCol w:w="326"/>
        <w:gridCol w:w="363"/>
        <w:gridCol w:w="346"/>
        <w:gridCol w:w="987"/>
      </w:tblGrid>
      <w:tr w:rsidR="00FC3C1C" w:rsidRPr="006C621B" w14:paraId="5C506CE9" w14:textId="77777777" w:rsidTr="003C5C89">
        <w:tc>
          <w:tcPr>
            <w:tcW w:w="6662" w:type="dxa"/>
            <w:gridSpan w:val="2"/>
            <w:shd w:val="clear" w:color="auto" w:fill="BFBFBF" w:themeFill="background1" w:themeFillShade="BF"/>
          </w:tcPr>
          <w:p w14:paraId="50946320" w14:textId="7E3BD219" w:rsidR="00FC3C1C" w:rsidRPr="006C621B" w:rsidRDefault="009A7CFE" w:rsidP="005B2AD0">
            <w:pPr>
              <w:pStyle w:val="Default"/>
              <w:rPr>
                <w:b/>
                <w:sz w:val="22"/>
                <w:szCs w:val="22"/>
              </w:rPr>
            </w:pPr>
            <w:r w:rsidRPr="006C621B">
              <w:rPr>
                <w:b/>
                <w:bCs/>
                <w:sz w:val="22"/>
                <w:szCs w:val="22"/>
              </w:rPr>
              <w:t xml:space="preserve">1 De kandidaat kan </w:t>
            </w:r>
            <w:r w:rsidR="00A41E64" w:rsidRPr="00A41E64">
              <w:rPr>
                <w:b/>
                <w:bCs/>
                <w:sz w:val="22"/>
                <w:szCs w:val="22"/>
              </w:rPr>
              <w:t xml:space="preserve">de </w:t>
            </w:r>
            <w:proofErr w:type="spellStart"/>
            <w:r w:rsidR="00A41E64" w:rsidRPr="00A41E64">
              <w:rPr>
                <w:b/>
                <w:bCs/>
                <w:sz w:val="22"/>
                <w:szCs w:val="22"/>
              </w:rPr>
              <w:t>permanence</w:t>
            </w:r>
            <w:proofErr w:type="spellEnd"/>
            <w:r w:rsidR="00A41E64" w:rsidRPr="00A41E64">
              <w:rPr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A41E64" w:rsidRPr="00A41E64">
              <w:rPr>
                <w:b/>
                <w:bCs/>
                <w:sz w:val="22"/>
                <w:szCs w:val="22"/>
              </w:rPr>
              <w:t>l’inventaire</w:t>
            </w:r>
            <w:proofErr w:type="spellEnd"/>
            <w:r w:rsidR="00A41E64" w:rsidRPr="00A41E64">
              <w:rPr>
                <w:b/>
                <w:bCs/>
                <w:sz w:val="22"/>
                <w:szCs w:val="22"/>
              </w:rPr>
              <w:t xml:space="preserve"> toepassen in handelsondernemingen en dienstverlenende ondernemingen.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67ABAB26" w14:textId="77777777" w:rsidR="00FC3C1C" w:rsidRPr="006C621B" w:rsidRDefault="00FC3C1C" w:rsidP="00C95093">
            <w:pPr>
              <w:rPr>
                <w:rFonts w:ascii="Arial" w:hAnsi="Arial" w:cs="Arial"/>
                <w:b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3FD1B98E" w14:textId="77777777" w:rsidR="00FC3C1C" w:rsidRPr="006C621B" w:rsidRDefault="00FC3C1C" w:rsidP="00C95093">
            <w:pPr>
              <w:rPr>
                <w:rFonts w:ascii="Arial" w:hAnsi="Arial" w:cs="Arial"/>
                <w:b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6BC853E0" w14:textId="77777777" w:rsidR="00FC3C1C" w:rsidRPr="006C621B" w:rsidRDefault="00FC3C1C" w:rsidP="00C95093">
            <w:pPr>
              <w:rPr>
                <w:rFonts w:ascii="Arial" w:hAnsi="Arial" w:cs="Arial"/>
                <w:b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7F46A9AA" w14:textId="77777777" w:rsidR="00FC3C1C" w:rsidRPr="006C621B" w:rsidRDefault="00FC3C1C" w:rsidP="00C95093">
            <w:pPr>
              <w:rPr>
                <w:rFonts w:ascii="Arial" w:hAnsi="Arial" w:cs="Arial"/>
                <w:b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54E7D12C" w14:textId="02BDE4EE" w:rsidR="00FC3C1C" w:rsidRPr="006C621B" w:rsidRDefault="00FC3C1C" w:rsidP="00C95093">
            <w:pPr>
              <w:rPr>
                <w:rFonts w:ascii="Arial" w:hAnsi="Arial" w:cs="Arial"/>
                <w:b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</w:t>
            </w:r>
            <w:r w:rsidR="007347C5" w:rsidRPr="006C621B">
              <w:rPr>
                <w:rFonts w:ascii="Arial" w:hAnsi="Arial" w:cs="Arial"/>
                <w:b/>
              </w:rPr>
              <w:t>-</w:t>
            </w:r>
            <w:r w:rsidRPr="006C621B">
              <w:rPr>
                <w:rFonts w:ascii="Arial" w:hAnsi="Arial" w:cs="Arial"/>
                <w:b/>
              </w:rPr>
              <w:t>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C3C1C" w:rsidRPr="006C621B" w14:paraId="17BAFCA3" w14:textId="77777777" w:rsidTr="00AF7A4F">
        <w:tc>
          <w:tcPr>
            <w:tcW w:w="704" w:type="dxa"/>
          </w:tcPr>
          <w:p w14:paraId="146EFE04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1.1</w:t>
            </w:r>
          </w:p>
        </w:tc>
        <w:tc>
          <w:tcPr>
            <w:tcW w:w="5958" w:type="dxa"/>
          </w:tcPr>
          <w:p w14:paraId="0B089047" w14:textId="4E1BA606" w:rsidR="00FC3C1C" w:rsidRPr="006C621B" w:rsidRDefault="009A7CFE" w:rsidP="002330B2">
            <w:pPr>
              <w:pStyle w:val="Default"/>
              <w:rPr>
                <w:sz w:val="22"/>
                <w:szCs w:val="22"/>
              </w:rPr>
            </w:pPr>
            <w:r w:rsidRPr="006C621B">
              <w:rPr>
                <w:sz w:val="22"/>
                <w:szCs w:val="22"/>
              </w:rPr>
              <w:t xml:space="preserve">De kandidaat kan boekingen </w:t>
            </w:r>
            <w:r w:rsidR="00CD3BDA">
              <w:rPr>
                <w:sz w:val="22"/>
                <w:szCs w:val="22"/>
              </w:rPr>
              <w:t xml:space="preserve">en correctieboekingen </w:t>
            </w:r>
            <w:r w:rsidRPr="006C621B">
              <w:rPr>
                <w:sz w:val="22"/>
                <w:szCs w:val="22"/>
              </w:rPr>
              <w:t xml:space="preserve">maken van (retour)inkopen en (retour)verkopen </w:t>
            </w:r>
            <w:r w:rsidR="00B9648A" w:rsidRPr="00B9648A">
              <w:rPr>
                <w:sz w:val="22"/>
                <w:szCs w:val="22"/>
              </w:rPr>
              <w:t>waarbij de facturen en goederen op verschillende tijdstippen kunnen worden ontvangen en afgegeven, inclusief een afstemregister en waarbij de voorraad kan worden geadministreerd tegen inkoopprijs, kostprijs, vaste verrekenprijs (</w:t>
            </w:r>
            <w:proofErr w:type="spellStart"/>
            <w:r w:rsidR="00B9648A" w:rsidRPr="00B9648A">
              <w:rPr>
                <w:sz w:val="22"/>
                <w:szCs w:val="22"/>
              </w:rPr>
              <w:t>v.v.p</w:t>
            </w:r>
            <w:proofErr w:type="spellEnd"/>
            <w:r w:rsidR="00B9648A" w:rsidRPr="00B9648A">
              <w:rPr>
                <w:sz w:val="22"/>
                <w:szCs w:val="22"/>
              </w:rPr>
              <w:t>.) en consumentenprijs. De vaste verrekenprijs kan bestaan uit de gemiddelde inkoopprijs, de directe inkoopkosten, een opslag voor de dekking van indirecte inkoopkosten en een opslag voor de dekking van magazijnkosten</w:t>
            </w:r>
            <w:r w:rsidR="00B9648A"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</w:tcPr>
          <w:p w14:paraId="6293B6C7" w14:textId="5F6888B3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57D7D8F7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EAB726C" w14:textId="6B3E0770" w:rsidR="00FC3C1C" w:rsidRPr="006C621B" w:rsidRDefault="00416145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625141EB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6E33039" w14:textId="77777777" w:rsidR="00A4096A" w:rsidRDefault="00D037A4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2CA22CC0" w14:textId="77777777" w:rsidR="00D037A4" w:rsidRDefault="00D037A4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459AFFE9" w14:textId="77777777" w:rsidR="00781273" w:rsidRDefault="00781273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470B4DF8" w14:textId="665855CC" w:rsidR="00781273" w:rsidRPr="006C621B" w:rsidRDefault="00781273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C3C1C" w:rsidRPr="006C621B" w14:paraId="50DA187D" w14:textId="77777777" w:rsidTr="00AF7A4F">
        <w:tc>
          <w:tcPr>
            <w:tcW w:w="704" w:type="dxa"/>
          </w:tcPr>
          <w:p w14:paraId="7B7AAF03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1.2</w:t>
            </w:r>
          </w:p>
        </w:tc>
        <w:tc>
          <w:tcPr>
            <w:tcW w:w="5958" w:type="dxa"/>
          </w:tcPr>
          <w:p w14:paraId="2E2F0BC7" w14:textId="17F8073A" w:rsidR="00FC3C1C" w:rsidRPr="00EF0421" w:rsidRDefault="002330B2" w:rsidP="00EF0421">
            <w:pPr>
              <w:pStyle w:val="Default"/>
              <w:rPr>
                <w:sz w:val="22"/>
                <w:szCs w:val="22"/>
              </w:rPr>
            </w:pPr>
            <w:r w:rsidRPr="00EF0421">
              <w:rPr>
                <w:sz w:val="22"/>
                <w:szCs w:val="22"/>
              </w:rPr>
              <w:t>De kandidaat kan boekingen en correctieboekingen maken van de invoer en uitvoer van handelsgoederen.</w:t>
            </w:r>
          </w:p>
        </w:tc>
        <w:tc>
          <w:tcPr>
            <w:tcW w:w="388" w:type="dxa"/>
          </w:tcPr>
          <w:p w14:paraId="5DE39088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7E2C96EE" w14:textId="48511FCE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FA72D63" w14:textId="45B03937" w:rsidR="00FC3C1C" w:rsidRPr="006C621B" w:rsidRDefault="00416145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1B84EB6F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34D715F" w14:textId="77777777" w:rsidR="00FC3C1C" w:rsidRPr="00D52EDA" w:rsidRDefault="00D037A4" w:rsidP="00C95093">
            <w:pPr>
              <w:jc w:val="center"/>
              <w:rPr>
                <w:rFonts w:ascii="Arial" w:hAnsi="Arial" w:cs="Arial"/>
              </w:rPr>
            </w:pPr>
            <w:r w:rsidRPr="00D52EDA">
              <w:rPr>
                <w:rFonts w:ascii="Arial" w:hAnsi="Arial" w:cs="Arial"/>
              </w:rPr>
              <w:t>2</w:t>
            </w:r>
          </w:p>
          <w:p w14:paraId="0F65D647" w14:textId="2F465EE7" w:rsidR="00D037A4" w:rsidRPr="00D52EDA" w:rsidRDefault="00B20488" w:rsidP="00055D18">
            <w:pPr>
              <w:jc w:val="center"/>
              <w:rPr>
                <w:rFonts w:ascii="Arial" w:hAnsi="Arial" w:cs="Arial"/>
              </w:rPr>
            </w:pPr>
            <w:r w:rsidRPr="00D52EDA">
              <w:rPr>
                <w:rFonts w:ascii="Arial" w:hAnsi="Arial" w:cs="Arial"/>
              </w:rPr>
              <w:t>4</w:t>
            </w:r>
          </w:p>
        </w:tc>
      </w:tr>
      <w:tr w:rsidR="00FC3C1C" w:rsidRPr="006C621B" w14:paraId="3D1FE74D" w14:textId="77777777" w:rsidTr="00AF7A4F">
        <w:tc>
          <w:tcPr>
            <w:tcW w:w="704" w:type="dxa"/>
          </w:tcPr>
          <w:p w14:paraId="59EA642D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1.3</w:t>
            </w:r>
          </w:p>
        </w:tc>
        <w:tc>
          <w:tcPr>
            <w:tcW w:w="5958" w:type="dxa"/>
          </w:tcPr>
          <w:p w14:paraId="6779B6F7" w14:textId="3AA4E66F" w:rsidR="00FC3C1C" w:rsidRPr="00EF0421" w:rsidRDefault="002330B2" w:rsidP="00EF0421">
            <w:pPr>
              <w:pStyle w:val="Default"/>
              <w:rPr>
                <w:sz w:val="22"/>
                <w:szCs w:val="22"/>
              </w:rPr>
            </w:pPr>
            <w:r w:rsidRPr="00EF0421">
              <w:rPr>
                <w:sz w:val="22"/>
                <w:szCs w:val="22"/>
              </w:rPr>
              <w:t xml:space="preserve">De kandidaat kan boekingen en correctieboekingen maken van intracommunautaire leveringen en </w:t>
            </w:r>
            <w:proofErr w:type="spellStart"/>
            <w:r w:rsidRPr="00EF0421">
              <w:rPr>
                <w:sz w:val="22"/>
                <w:szCs w:val="22"/>
              </w:rPr>
              <w:t>verwervingen</w:t>
            </w:r>
            <w:proofErr w:type="spellEnd"/>
            <w:r w:rsidRPr="00EF0421">
              <w:rPr>
                <w:sz w:val="22"/>
                <w:szCs w:val="22"/>
              </w:rPr>
              <w:t xml:space="preserve"> van handelsgoederen (btw verlegd).</w:t>
            </w:r>
          </w:p>
        </w:tc>
        <w:tc>
          <w:tcPr>
            <w:tcW w:w="388" w:type="dxa"/>
          </w:tcPr>
          <w:p w14:paraId="436D0B88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4960262A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8A4F739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3BACF0A4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D50C468" w14:textId="0E8B8A86" w:rsidR="00B20488" w:rsidRPr="00D52EDA" w:rsidRDefault="00B20488" w:rsidP="00C95093">
            <w:pPr>
              <w:jc w:val="center"/>
              <w:rPr>
                <w:rFonts w:ascii="Arial" w:hAnsi="Arial" w:cs="Arial"/>
              </w:rPr>
            </w:pPr>
            <w:r w:rsidRPr="00D52EDA">
              <w:rPr>
                <w:rFonts w:ascii="Arial" w:hAnsi="Arial" w:cs="Arial"/>
              </w:rPr>
              <w:t>2</w:t>
            </w:r>
          </w:p>
          <w:p w14:paraId="60C693C5" w14:textId="3D42E8D8" w:rsidR="00FC3C1C" w:rsidRPr="00D52EDA" w:rsidRDefault="00781273" w:rsidP="00C95093">
            <w:pPr>
              <w:jc w:val="center"/>
              <w:rPr>
                <w:rFonts w:ascii="Arial" w:hAnsi="Arial" w:cs="Arial"/>
              </w:rPr>
            </w:pPr>
            <w:r w:rsidRPr="00D52EDA">
              <w:rPr>
                <w:rFonts w:ascii="Arial" w:hAnsi="Arial" w:cs="Arial"/>
              </w:rPr>
              <w:t>4</w:t>
            </w:r>
          </w:p>
        </w:tc>
      </w:tr>
      <w:tr w:rsidR="00FC3C1C" w:rsidRPr="006C621B" w14:paraId="163448C7" w14:textId="77777777" w:rsidTr="00AF7A4F">
        <w:tc>
          <w:tcPr>
            <w:tcW w:w="704" w:type="dxa"/>
          </w:tcPr>
          <w:p w14:paraId="0BF93CAF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1.4</w:t>
            </w:r>
          </w:p>
        </w:tc>
        <w:tc>
          <w:tcPr>
            <w:tcW w:w="5958" w:type="dxa"/>
          </w:tcPr>
          <w:p w14:paraId="7F247414" w14:textId="58DF9FEE" w:rsidR="00FC3C1C" w:rsidRPr="00EF0421" w:rsidRDefault="00EF0421" w:rsidP="00EF0421">
            <w:pPr>
              <w:pStyle w:val="Default"/>
              <w:rPr>
                <w:sz w:val="22"/>
                <w:szCs w:val="22"/>
              </w:rPr>
            </w:pPr>
            <w:r w:rsidRPr="00EF0421">
              <w:rPr>
                <w:sz w:val="22"/>
                <w:szCs w:val="22"/>
              </w:rPr>
              <w:t>De kandidaat kan boekingen en correctieboekingen maken van het ontstaan en de betaling van kosten.</w:t>
            </w:r>
          </w:p>
        </w:tc>
        <w:tc>
          <w:tcPr>
            <w:tcW w:w="388" w:type="dxa"/>
          </w:tcPr>
          <w:p w14:paraId="34861D66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1822AEE5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59C3CB2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55D1204D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6FC5E6CD" w14:textId="56D1C313" w:rsidR="00FC3C1C" w:rsidRPr="006C621B" w:rsidRDefault="00FB3465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3C1C" w:rsidRPr="006C621B" w14:paraId="5B6E0406" w14:textId="77777777" w:rsidTr="00AF7A4F">
        <w:tc>
          <w:tcPr>
            <w:tcW w:w="704" w:type="dxa"/>
          </w:tcPr>
          <w:p w14:paraId="6ED8A8F9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1.5</w:t>
            </w:r>
          </w:p>
        </w:tc>
        <w:tc>
          <w:tcPr>
            <w:tcW w:w="5958" w:type="dxa"/>
          </w:tcPr>
          <w:p w14:paraId="0BD2B532" w14:textId="33E7B2B1" w:rsidR="00FC3C1C" w:rsidRPr="00EF0421" w:rsidRDefault="00EF0421" w:rsidP="00EF0421">
            <w:pPr>
              <w:pStyle w:val="Default"/>
              <w:rPr>
                <w:sz w:val="22"/>
                <w:szCs w:val="22"/>
              </w:rPr>
            </w:pPr>
            <w:r w:rsidRPr="00EF0421">
              <w:rPr>
                <w:sz w:val="22"/>
                <w:szCs w:val="22"/>
              </w:rPr>
              <w:t>De kandidaat kan boekingen en correctieboekingen maken van het ontstaan en de ontvangst van opbrengsten.</w:t>
            </w:r>
          </w:p>
        </w:tc>
        <w:tc>
          <w:tcPr>
            <w:tcW w:w="388" w:type="dxa"/>
          </w:tcPr>
          <w:p w14:paraId="2D7DF0B1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5387929D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1310627C" w14:textId="77777777" w:rsidR="00FC3C1C" w:rsidRPr="006C621B" w:rsidRDefault="00FC3C1C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769EF387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3A8D57CC" w14:textId="4835A35E" w:rsidR="00FC3C1C" w:rsidRPr="006C621B" w:rsidRDefault="00FB3465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55D18" w:rsidRPr="006C621B" w14:paraId="4684B48B" w14:textId="77777777" w:rsidTr="00055D18">
        <w:tc>
          <w:tcPr>
            <w:tcW w:w="6662" w:type="dxa"/>
            <w:gridSpan w:val="2"/>
            <w:shd w:val="clear" w:color="auto" w:fill="BFBFBF" w:themeFill="background1" w:themeFillShade="BF"/>
          </w:tcPr>
          <w:p w14:paraId="269D4EFF" w14:textId="1FC6FF11" w:rsidR="00055D18" w:rsidRPr="006C621B" w:rsidRDefault="00055D18" w:rsidP="00055D18">
            <w:pPr>
              <w:rPr>
                <w:rFonts w:ascii="Arial" w:hAnsi="Arial" w:cs="Arial"/>
                <w:b/>
              </w:rPr>
            </w:pPr>
            <w:r w:rsidRPr="006C621B">
              <w:rPr>
                <w:rFonts w:ascii="Arial" w:hAnsi="Arial" w:cs="Arial"/>
                <w:b/>
              </w:rPr>
              <w:t xml:space="preserve">2 </w:t>
            </w:r>
            <w:r w:rsidRPr="006C621B">
              <w:rPr>
                <w:rFonts w:ascii="Arial" w:hAnsi="Arial" w:cs="Arial"/>
                <w:b/>
                <w:bCs/>
              </w:rPr>
              <w:t xml:space="preserve">De kandidaat kan </w:t>
            </w:r>
            <w:r>
              <w:rPr>
                <w:rFonts w:ascii="Arial" w:hAnsi="Arial" w:cs="Arial"/>
                <w:b/>
                <w:bCs/>
              </w:rPr>
              <w:t>boekingen maken van kostensoorten</w:t>
            </w:r>
            <w:r w:rsidRPr="006C621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7BEC46ED" w14:textId="0849D01C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3269FE71" w14:textId="12C17BCB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2752F0C5" w14:textId="23B6E860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33EB867D" w14:textId="3AFD653F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6D9349D7" w14:textId="2621E879" w:rsidR="00055D18" w:rsidRPr="006C621B" w:rsidRDefault="00055D18" w:rsidP="00055D18">
            <w:pPr>
              <w:jc w:val="center"/>
              <w:rPr>
                <w:rFonts w:ascii="Arial" w:hAnsi="Arial" w:cs="Arial"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Hoofd-stuk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C3C1C" w:rsidRPr="006C621B" w14:paraId="15439DB2" w14:textId="77777777" w:rsidTr="00AF7A4F">
        <w:tc>
          <w:tcPr>
            <w:tcW w:w="704" w:type="dxa"/>
          </w:tcPr>
          <w:p w14:paraId="6C0F00A6" w14:textId="77777777" w:rsidR="00FC3C1C" w:rsidRPr="006C621B" w:rsidRDefault="00FC3C1C" w:rsidP="00C95093">
            <w:pPr>
              <w:ind w:right="-111"/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2.1</w:t>
            </w:r>
          </w:p>
        </w:tc>
        <w:tc>
          <w:tcPr>
            <w:tcW w:w="5958" w:type="dxa"/>
          </w:tcPr>
          <w:p w14:paraId="1698DD70" w14:textId="26ACE62B" w:rsidR="00FC3C1C" w:rsidRPr="008843AC" w:rsidRDefault="00F1176E" w:rsidP="008843AC">
            <w:pPr>
              <w:pStyle w:val="Default"/>
              <w:rPr>
                <w:sz w:val="22"/>
                <w:szCs w:val="22"/>
              </w:rPr>
            </w:pPr>
            <w:r w:rsidRPr="008843AC">
              <w:rPr>
                <w:sz w:val="22"/>
                <w:szCs w:val="22"/>
              </w:rPr>
              <w:t xml:space="preserve">De kandidaat kan boekingen en correctieboekingen maken van de loonkosten, waaronder de loonlijst en de </w:t>
            </w:r>
            <w:proofErr w:type="spellStart"/>
            <w:r w:rsidRPr="008843AC">
              <w:rPr>
                <w:sz w:val="22"/>
                <w:szCs w:val="22"/>
              </w:rPr>
              <w:t>loonverdeelstaat</w:t>
            </w:r>
            <w:proofErr w:type="spellEnd"/>
            <w:r w:rsidRPr="008843AC">
              <w:rPr>
                <w:sz w:val="22"/>
                <w:szCs w:val="22"/>
              </w:rPr>
              <w:t xml:space="preserve">, inclusief de werkgeverslasten en van de kosten in het kader van de (fiscale)werkkostenregeling en loonkostensubsidies. </w:t>
            </w:r>
          </w:p>
        </w:tc>
        <w:tc>
          <w:tcPr>
            <w:tcW w:w="388" w:type="dxa"/>
          </w:tcPr>
          <w:p w14:paraId="0173D25B" w14:textId="3CD9B5E5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5359972B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2F09299C" w14:textId="11C37A8B" w:rsidR="00FC3C1C" w:rsidRPr="006C621B" w:rsidRDefault="00AF7A4F" w:rsidP="00C95093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0D8E1493" w14:textId="77777777" w:rsidR="00FC3C1C" w:rsidRPr="006C621B" w:rsidRDefault="00FC3C1C" w:rsidP="00C95093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EB80925" w14:textId="09B4DC88" w:rsidR="006C621B" w:rsidRPr="006C621B" w:rsidRDefault="00422C52" w:rsidP="00C950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F0421" w:rsidRPr="006C621B" w14:paraId="4F140819" w14:textId="77777777" w:rsidTr="00AF7A4F">
        <w:tc>
          <w:tcPr>
            <w:tcW w:w="704" w:type="dxa"/>
          </w:tcPr>
          <w:p w14:paraId="05685D60" w14:textId="29DDFCFD" w:rsidR="00EF0421" w:rsidRPr="006C621B" w:rsidRDefault="00EF0421" w:rsidP="00EF0421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5958" w:type="dxa"/>
          </w:tcPr>
          <w:p w14:paraId="0FD2E726" w14:textId="76A905A7" w:rsidR="00EF0421" w:rsidRPr="008843AC" w:rsidRDefault="00F1176E" w:rsidP="008843AC">
            <w:pPr>
              <w:pStyle w:val="Default"/>
              <w:rPr>
                <w:sz w:val="22"/>
                <w:szCs w:val="22"/>
              </w:rPr>
            </w:pPr>
            <w:r w:rsidRPr="008843AC">
              <w:rPr>
                <w:sz w:val="22"/>
                <w:szCs w:val="22"/>
              </w:rPr>
              <w:t>De kandidaat kan boekingen en correctieboekingen maken van de afschrijvingskosten op vaste activa op basis van de aanschafprijs.</w:t>
            </w:r>
          </w:p>
        </w:tc>
        <w:tc>
          <w:tcPr>
            <w:tcW w:w="388" w:type="dxa"/>
          </w:tcPr>
          <w:p w14:paraId="28FA43EB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240C612B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9F87D73" w14:textId="02E0AB7F" w:rsidR="00EF0421" w:rsidRPr="006C621B" w:rsidRDefault="00EF0421" w:rsidP="00EF0421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1CF15B8D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2520198" w14:textId="0D474D31" w:rsidR="00EF0421" w:rsidRPr="006C621B" w:rsidRDefault="00422C52" w:rsidP="00EF0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0421" w:rsidRPr="006C621B" w14:paraId="2313EAD5" w14:textId="77777777" w:rsidTr="00AF7A4F">
        <w:tc>
          <w:tcPr>
            <w:tcW w:w="704" w:type="dxa"/>
          </w:tcPr>
          <w:p w14:paraId="37E129B1" w14:textId="560A7073" w:rsidR="00EF0421" w:rsidRPr="006C621B" w:rsidRDefault="00EF0421" w:rsidP="00EF0421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5958" w:type="dxa"/>
          </w:tcPr>
          <w:p w14:paraId="54093781" w14:textId="1BB5127E" w:rsidR="00EF0421" w:rsidRPr="008843AC" w:rsidRDefault="00F1176E" w:rsidP="008843AC">
            <w:pPr>
              <w:pStyle w:val="Default"/>
              <w:rPr>
                <w:sz w:val="22"/>
                <w:szCs w:val="22"/>
              </w:rPr>
            </w:pPr>
            <w:r w:rsidRPr="008843AC">
              <w:rPr>
                <w:sz w:val="22"/>
                <w:szCs w:val="22"/>
              </w:rPr>
              <w:t>De kandidaat kan boekingen en correctieboekingen maken van de aankoop, verkoop, inruil en buitengebruikstelling van vaste activa.</w:t>
            </w:r>
          </w:p>
        </w:tc>
        <w:tc>
          <w:tcPr>
            <w:tcW w:w="388" w:type="dxa"/>
          </w:tcPr>
          <w:p w14:paraId="00A31F4B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0CF4220B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CCAB068" w14:textId="001FD11A" w:rsidR="00EF0421" w:rsidRPr="006C621B" w:rsidRDefault="00EF0421" w:rsidP="00EF0421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56DE2B6F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4351283" w14:textId="03690B79" w:rsidR="00EF0421" w:rsidRPr="006C621B" w:rsidRDefault="00422C52" w:rsidP="00EF0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0421" w:rsidRPr="006C621B" w14:paraId="31FF9801" w14:textId="77777777" w:rsidTr="00AF7A4F">
        <w:tc>
          <w:tcPr>
            <w:tcW w:w="704" w:type="dxa"/>
          </w:tcPr>
          <w:p w14:paraId="55432BBE" w14:textId="190EA408" w:rsidR="00EF0421" w:rsidRPr="006C621B" w:rsidRDefault="00EF0421" w:rsidP="00EF0421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5958" w:type="dxa"/>
          </w:tcPr>
          <w:p w14:paraId="0CF20187" w14:textId="0EFAD863" w:rsidR="00EF0421" w:rsidRPr="008843AC" w:rsidRDefault="008843AC" w:rsidP="008843AC">
            <w:pPr>
              <w:pStyle w:val="Default"/>
              <w:rPr>
                <w:sz w:val="22"/>
                <w:szCs w:val="22"/>
              </w:rPr>
            </w:pPr>
            <w:r w:rsidRPr="008843AC">
              <w:rPr>
                <w:sz w:val="22"/>
                <w:szCs w:val="22"/>
              </w:rPr>
              <w:t xml:space="preserve">De kandidaat kan boekingen en correctieboekingen maken van het onderhoud en revisie van vaste activa. </w:t>
            </w:r>
          </w:p>
        </w:tc>
        <w:tc>
          <w:tcPr>
            <w:tcW w:w="388" w:type="dxa"/>
          </w:tcPr>
          <w:p w14:paraId="3B3141EE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6BBB0F8A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0250174C" w14:textId="5FA57B22" w:rsidR="00EF0421" w:rsidRPr="006C621B" w:rsidRDefault="00EF0421" w:rsidP="00EF0421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559A8351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3ACA9EC" w14:textId="6FE9DD0C" w:rsidR="00EF0421" w:rsidRPr="006C621B" w:rsidRDefault="00422C52" w:rsidP="00EF0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EF0421" w:rsidRPr="006C621B" w14:paraId="2417894E" w14:textId="77777777" w:rsidTr="00AF7A4F">
        <w:tc>
          <w:tcPr>
            <w:tcW w:w="704" w:type="dxa"/>
          </w:tcPr>
          <w:p w14:paraId="79E08334" w14:textId="6A32813F" w:rsidR="00EF0421" w:rsidRPr="006C621B" w:rsidRDefault="00EF0421" w:rsidP="00EF0421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5958" w:type="dxa"/>
          </w:tcPr>
          <w:p w14:paraId="35165774" w14:textId="76A9F9CE" w:rsidR="00EF0421" w:rsidRPr="008843AC" w:rsidRDefault="008843AC" w:rsidP="008843AC">
            <w:pPr>
              <w:pStyle w:val="Default"/>
              <w:rPr>
                <w:sz w:val="22"/>
                <w:szCs w:val="22"/>
              </w:rPr>
            </w:pPr>
            <w:r w:rsidRPr="008843AC">
              <w:rPr>
                <w:sz w:val="22"/>
                <w:szCs w:val="22"/>
              </w:rPr>
              <w:t>De kandidaat kan boekingen en correctieboekingen maken van de kosten van grond- en hulpstoffen, grond, diensten van derden, belastingen en interest.</w:t>
            </w:r>
          </w:p>
        </w:tc>
        <w:tc>
          <w:tcPr>
            <w:tcW w:w="388" w:type="dxa"/>
          </w:tcPr>
          <w:p w14:paraId="3525D6D5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07AF6D1E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6FF9D32A" w14:textId="6A71AA06" w:rsidR="00EF0421" w:rsidRPr="006C621B" w:rsidRDefault="00EF0421" w:rsidP="00EF0421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5E26E618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5562008" w14:textId="79C79483" w:rsidR="00EF0421" w:rsidRPr="006C621B" w:rsidRDefault="002E15E7" w:rsidP="00EF0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F0421" w:rsidRPr="006C621B" w14:paraId="4A0F4F96" w14:textId="77777777" w:rsidTr="00AF7A4F">
        <w:tc>
          <w:tcPr>
            <w:tcW w:w="704" w:type="dxa"/>
          </w:tcPr>
          <w:p w14:paraId="4671FA3F" w14:textId="5BC5BBFF" w:rsidR="00EF0421" w:rsidRPr="006C621B" w:rsidRDefault="00EF0421" w:rsidP="00EF0421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5958" w:type="dxa"/>
          </w:tcPr>
          <w:p w14:paraId="1D9A28F1" w14:textId="78E674A0" w:rsidR="00EF0421" w:rsidRPr="008843AC" w:rsidRDefault="008843AC" w:rsidP="008843AC">
            <w:pPr>
              <w:pStyle w:val="Default"/>
              <w:rPr>
                <w:sz w:val="22"/>
                <w:szCs w:val="22"/>
              </w:rPr>
            </w:pPr>
            <w:r w:rsidRPr="008843AC">
              <w:rPr>
                <w:sz w:val="22"/>
                <w:szCs w:val="22"/>
              </w:rPr>
              <w:t xml:space="preserve">De kandidaat kan boekingen en correctieboekingen maken van het ontstaan, toenemen en afnemen van voorzieningen voor garantieverplichtingen, voor </w:t>
            </w:r>
            <w:r w:rsidRPr="008843AC">
              <w:rPr>
                <w:sz w:val="22"/>
                <w:szCs w:val="22"/>
              </w:rPr>
              <w:lastRenderedPageBreak/>
              <w:t>onderhoud, voor milieumaatregelen en voor debiteuren op basis van de statische en dynamische methode van waardering van debiteuren.</w:t>
            </w:r>
          </w:p>
        </w:tc>
        <w:tc>
          <w:tcPr>
            <w:tcW w:w="388" w:type="dxa"/>
          </w:tcPr>
          <w:p w14:paraId="3E21682A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22A5D918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4F862C49" w14:textId="2594A097" w:rsidR="00EF0421" w:rsidRPr="006C621B" w:rsidRDefault="00EF0421" w:rsidP="00EF0421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695DB9B2" w14:textId="77777777" w:rsidR="00EF0421" w:rsidRPr="006C621B" w:rsidRDefault="00EF0421" w:rsidP="00EF0421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4BA9BEF3" w14:textId="7C5EE6DF" w:rsidR="00EF0421" w:rsidRPr="006C621B" w:rsidRDefault="00052E32" w:rsidP="00EF04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055D18" w:rsidRPr="006C621B" w14:paraId="286541AD" w14:textId="77777777" w:rsidTr="00055D18">
        <w:tc>
          <w:tcPr>
            <w:tcW w:w="6662" w:type="dxa"/>
            <w:gridSpan w:val="2"/>
            <w:shd w:val="clear" w:color="auto" w:fill="BFBFBF" w:themeFill="background1" w:themeFillShade="BF"/>
          </w:tcPr>
          <w:p w14:paraId="37884EFE" w14:textId="4C24E2F2" w:rsidR="00055D18" w:rsidRPr="006C621B" w:rsidRDefault="00055D18" w:rsidP="00055D18">
            <w:pPr>
              <w:pStyle w:val="Default"/>
              <w:rPr>
                <w:sz w:val="22"/>
                <w:szCs w:val="22"/>
              </w:rPr>
            </w:pPr>
            <w:r w:rsidRPr="006C621B">
              <w:rPr>
                <w:b/>
                <w:bCs/>
                <w:sz w:val="22"/>
                <w:szCs w:val="22"/>
              </w:rPr>
              <w:t>3</w:t>
            </w:r>
            <w:r w:rsidRPr="006C621B">
              <w:rPr>
                <w:sz w:val="22"/>
                <w:szCs w:val="22"/>
              </w:rPr>
              <w:t xml:space="preserve"> </w:t>
            </w:r>
            <w:r w:rsidRPr="006C621B">
              <w:rPr>
                <w:b/>
                <w:bCs/>
                <w:sz w:val="22"/>
                <w:szCs w:val="22"/>
              </w:rPr>
              <w:t xml:space="preserve">De kandidaat kan </w:t>
            </w:r>
            <w:r>
              <w:rPr>
                <w:b/>
                <w:bCs/>
                <w:sz w:val="22"/>
                <w:szCs w:val="22"/>
              </w:rPr>
              <w:t>boekingen en correctieboekingen maken met betrekking tot het eigen vermogen en het vreemd vermogen</w:t>
            </w:r>
            <w:r w:rsidRPr="006C62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034B2D62" w14:textId="1528200F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7618CA89" w14:textId="3F629639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301EE3FB" w14:textId="4429DA14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2C1CE87B" w14:textId="14A01526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6C0F776B" w14:textId="5C580B26" w:rsidR="00055D18" w:rsidRPr="006C621B" w:rsidRDefault="00055D18" w:rsidP="00055D18">
            <w:pPr>
              <w:jc w:val="center"/>
              <w:rPr>
                <w:rFonts w:ascii="Arial" w:hAnsi="Arial" w:cs="Arial"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Hoofd-stuk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507FC" w:rsidRPr="006C621B" w14:paraId="6650FB62" w14:textId="77777777" w:rsidTr="00AF7A4F">
        <w:tc>
          <w:tcPr>
            <w:tcW w:w="704" w:type="dxa"/>
          </w:tcPr>
          <w:p w14:paraId="7E388FC3" w14:textId="56A7D254" w:rsidR="00C507FC" w:rsidRPr="006C621B" w:rsidRDefault="00C507FC" w:rsidP="00C507FC">
            <w:pPr>
              <w:ind w:right="-111"/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3.1</w:t>
            </w:r>
          </w:p>
        </w:tc>
        <w:tc>
          <w:tcPr>
            <w:tcW w:w="5958" w:type="dxa"/>
          </w:tcPr>
          <w:p w14:paraId="5AF03089" w14:textId="5A545DBF" w:rsidR="00C507FC" w:rsidRPr="002F2E8F" w:rsidRDefault="00F81F4E" w:rsidP="002F2E8F">
            <w:pPr>
              <w:pStyle w:val="Default"/>
              <w:rPr>
                <w:sz w:val="22"/>
                <w:szCs w:val="22"/>
              </w:rPr>
            </w:pPr>
            <w:r w:rsidRPr="002F2E8F">
              <w:rPr>
                <w:sz w:val="22"/>
                <w:szCs w:val="22"/>
              </w:rPr>
              <w:t>De kandidaat kan boekingen en correctieboekingen maken van het eigen vermogen en het vreemd vermogen met toepassing van de grootboekrekeningen die zijn opgenomen in het standaard rekeningschema.</w:t>
            </w:r>
          </w:p>
        </w:tc>
        <w:tc>
          <w:tcPr>
            <w:tcW w:w="388" w:type="dxa"/>
          </w:tcPr>
          <w:p w14:paraId="4B82EBFC" w14:textId="77777777" w:rsidR="00C507FC" w:rsidRPr="006C621B" w:rsidRDefault="00C507FC" w:rsidP="00C507FC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78A3F1D1" w14:textId="77777777" w:rsidR="00C507FC" w:rsidRPr="006C621B" w:rsidRDefault="00C507FC" w:rsidP="00C507FC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4480E5DF" w14:textId="3DE02FDA" w:rsidR="00C507FC" w:rsidRPr="006C621B" w:rsidRDefault="00C507FC" w:rsidP="00C507FC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1FFF7B19" w14:textId="77777777" w:rsidR="00C507FC" w:rsidRPr="006C621B" w:rsidRDefault="00C507FC" w:rsidP="00C507FC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72234D1" w14:textId="6125C660" w:rsidR="00C507FC" w:rsidRPr="006C621B" w:rsidRDefault="00052E32" w:rsidP="00C507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F2E8F" w:rsidRPr="006C621B" w14:paraId="006A6449" w14:textId="77777777" w:rsidTr="00AF7A4F">
        <w:tc>
          <w:tcPr>
            <w:tcW w:w="704" w:type="dxa"/>
          </w:tcPr>
          <w:p w14:paraId="57FBCCED" w14:textId="76D4F0F6" w:rsidR="002F2E8F" w:rsidRPr="006C621B" w:rsidRDefault="002F2E8F" w:rsidP="002F2E8F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5958" w:type="dxa"/>
          </w:tcPr>
          <w:p w14:paraId="71F1895F" w14:textId="23161D54" w:rsidR="002F2E8F" w:rsidRPr="002F2E8F" w:rsidRDefault="002F2E8F" w:rsidP="002F2E8F">
            <w:pPr>
              <w:pStyle w:val="Default"/>
              <w:rPr>
                <w:sz w:val="22"/>
                <w:szCs w:val="22"/>
              </w:rPr>
            </w:pPr>
            <w:r w:rsidRPr="002F2E8F">
              <w:rPr>
                <w:sz w:val="22"/>
                <w:szCs w:val="22"/>
              </w:rPr>
              <w:t>De kandidaat kan boekingen en correctieboekingen maken van de winstverdeling bij een bv.</w:t>
            </w:r>
          </w:p>
        </w:tc>
        <w:tc>
          <w:tcPr>
            <w:tcW w:w="388" w:type="dxa"/>
          </w:tcPr>
          <w:p w14:paraId="5A2FE338" w14:textId="77777777" w:rsidR="002F2E8F" w:rsidRPr="006C621B" w:rsidRDefault="002F2E8F" w:rsidP="002F2E8F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7A2CAFC9" w14:textId="77777777" w:rsidR="002F2E8F" w:rsidRPr="006C621B" w:rsidRDefault="002F2E8F" w:rsidP="002F2E8F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1F60A70F" w14:textId="050B228C" w:rsidR="002F2E8F" w:rsidRPr="006C621B" w:rsidRDefault="002F2E8F" w:rsidP="002F2E8F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59F5B9CC" w14:textId="77777777" w:rsidR="002F2E8F" w:rsidRPr="006C621B" w:rsidRDefault="002F2E8F" w:rsidP="002F2E8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42E5AEA9" w14:textId="312CCD3F" w:rsidR="002F2E8F" w:rsidRPr="006C621B" w:rsidRDefault="00052E32" w:rsidP="002F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2F2E8F" w:rsidRPr="006C621B" w14:paraId="2D17FEAC" w14:textId="77777777" w:rsidTr="00AF7A4F">
        <w:tc>
          <w:tcPr>
            <w:tcW w:w="704" w:type="dxa"/>
          </w:tcPr>
          <w:p w14:paraId="7A3FE826" w14:textId="7D375F23" w:rsidR="002F2E8F" w:rsidRPr="006C621B" w:rsidRDefault="002F2E8F" w:rsidP="002F2E8F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5958" w:type="dxa"/>
          </w:tcPr>
          <w:p w14:paraId="00B9F0CC" w14:textId="4608F0AA" w:rsidR="002F2E8F" w:rsidRPr="002F2E8F" w:rsidRDefault="002F2E8F" w:rsidP="002F2E8F">
            <w:pPr>
              <w:pStyle w:val="Default"/>
              <w:rPr>
                <w:sz w:val="22"/>
                <w:szCs w:val="22"/>
              </w:rPr>
            </w:pPr>
            <w:r w:rsidRPr="002F2E8F">
              <w:rPr>
                <w:sz w:val="22"/>
                <w:szCs w:val="22"/>
              </w:rPr>
              <w:t>De kandidaat kan boekingen en correctieboekingen maken van de omzetting van een eenmanszaak in een bv.</w:t>
            </w:r>
          </w:p>
        </w:tc>
        <w:tc>
          <w:tcPr>
            <w:tcW w:w="388" w:type="dxa"/>
          </w:tcPr>
          <w:p w14:paraId="7857604D" w14:textId="77777777" w:rsidR="002F2E8F" w:rsidRPr="006C621B" w:rsidRDefault="002F2E8F" w:rsidP="002F2E8F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4B1671E5" w14:textId="77777777" w:rsidR="002F2E8F" w:rsidRPr="006C621B" w:rsidRDefault="002F2E8F" w:rsidP="002F2E8F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371C303D" w14:textId="1738FE13" w:rsidR="002F2E8F" w:rsidRPr="006C621B" w:rsidRDefault="002F2E8F" w:rsidP="002F2E8F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4F736A07" w14:textId="77777777" w:rsidR="002F2E8F" w:rsidRPr="006C621B" w:rsidRDefault="002F2E8F" w:rsidP="002F2E8F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9B76E87" w14:textId="62E55EFD" w:rsidR="002F2E8F" w:rsidRPr="006C621B" w:rsidRDefault="00052E32" w:rsidP="002F2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055D18" w:rsidRPr="006C621B" w14:paraId="35C709DD" w14:textId="77777777" w:rsidTr="00055D18">
        <w:tc>
          <w:tcPr>
            <w:tcW w:w="6662" w:type="dxa"/>
            <w:gridSpan w:val="2"/>
            <w:shd w:val="clear" w:color="auto" w:fill="BFBFBF" w:themeFill="background1" w:themeFillShade="BF"/>
          </w:tcPr>
          <w:p w14:paraId="392FB1FD" w14:textId="15DE6404" w:rsidR="00055D18" w:rsidRPr="006C621B" w:rsidRDefault="00055D18" w:rsidP="00055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6C621B">
              <w:rPr>
                <w:sz w:val="22"/>
                <w:szCs w:val="22"/>
              </w:rPr>
              <w:t xml:space="preserve"> </w:t>
            </w:r>
            <w:r w:rsidRPr="006C621B">
              <w:rPr>
                <w:b/>
                <w:bCs/>
                <w:sz w:val="22"/>
                <w:szCs w:val="22"/>
              </w:rPr>
              <w:t xml:space="preserve">De kandidaat kan </w:t>
            </w:r>
            <w:r>
              <w:rPr>
                <w:b/>
                <w:bCs/>
                <w:sz w:val="22"/>
                <w:szCs w:val="22"/>
              </w:rPr>
              <w:t>boekingen en correctieboekingen maken met betrekking tot leasing.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75CC10D2" w14:textId="0C737C24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30AE474B" w14:textId="456E217B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28F1DD97" w14:textId="2D075290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61CEBF6C" w14:textId="0CF720DA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53927CB5" w14:textId="7FB40A0E" w:rsidR="00055D18" w:rsidRPr="006C621B" w:rsidRDefault="00055D18" w:rsidP="00055D18">
            <w:pPr>
              <w:jc w:val="center"/>
              <w:rPr>
                <w:rFonts w:ascii="Arial" w:hAnsi="Arial" w:cs="Arial"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Hoofd-stuk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F2E8F" w:rsidRPr="006C621B" w14:paraId="0F8C25A7" w14:textId="77777777" w:rsidTr="004A7EE4">
        <w:tc>
          <w:tcPr>
            <w:tcW w:w="704" w:type="dxa"/>
          </w:tcPr>
          <w:p w14:paraId="48E87718" w14:textId="60B324FB" w:rsidR="002F2E8F" w:rsidRPr="006C621B" w:rsidRDefault="002F2E8F" w:rsidP="004A7EE4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5958" w:type="dxa"/>
          </w:tcPr>
          <w:p w14:paraId="4F5DCC6D" w14:textId="77777777" w:rsidR="007C0B0D" w:rsidRPr="002F2E8F" w:rsidRDefault="002F2E8F" w:rsidP="004A7EE4">
            <w:pPr>
              <w:pStyle w:val="Default"/>
              <w:rPr>
                <w:sz w:val="22"/>
                <w:szCs w:val="22"/>
              </w:rPr>
            </w:pPr>
            <w:r w:rsidRPr="002F2E8F">
              <w:rPr>
                <w:sz w:val="22"/>
                <w:szCs w:val="22"/>
              </w:rPr>
              <w:t xml:space="preserve">De kandidaat kan boekingen en correctieboekingen maken </w:t>
            </w:r>
          </w:p>
          <w:p w14:paraId="192DBA73" w14:textId="60583EFA" w:rsidR="002F2E8F" w:rsidRPr="002F2E8F" w:rsidRDefault="007C0B0D" w:rsidP="007C0B0D">
            <w:pPr>
              <w:pStyle w:val="Default"/>
              <w:rPr>
                <w:sz w:val="22"/>
                <w:szCs w:val="22"/>
              </w:rPr>
            </w:pPr>
            <w:r w:rsidRPr="007C0B0D">
              <w:rPr>
                <w:sz w:val="22"/>
                <w:szCs w:val="22"/>
              </w:rPr>
              <w:t>voor de lessee bij financiële en operationele lease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8" w:type="dxa"/>
          </w:tcPr>
          <w:p w14:paraId="0A568261" w14:textId="77777777" w:rsidR="002F2E8F" w:rsidRPr="006C621B" w:rsidRDefault="002F2E8F" w:rsidP="004A7EE4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33D48A59" w14:textId="77777777" w:rsidR="002F2E8F" w:rsidRPr="006C621B" w:rsidRDefault="002F2E8F" w:rsidP="004A7EE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7BCC3A44" w14:textId="77777777" w:rsidR="002F2E8F" w:rsidRPr="006C621B" w:rsidRDefault="002F2E8F" w:rsidP="004A7EE4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64E43CE9" w14:textId="77777777" w:rsidR="002F2E8F" w:rsidRPr="006C621B" w:rsidRDefault="002F2E8F" w:rsidP="004A7EE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3019A60" w14:textId="79D2091F" w:rsidR="002F2E8F" w:rsidRPr="006C621B" w:rsidRDefault="00422C52" w:rsidP="004A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55D18" w:rsidRPr="006C621B" w14:paraId="4B044866" w14:textId="77777777" w:rsidTr="00055D18">
        <w:tc>
          <w:tcPr>
            <w:tcW w:w="6662" w:type="dxa"/>
            <w:gridSpan w:val="2"/>
            <w:shd w:val="clear" w:color="auto" w:fill="BFBFBF" w:themeFill="background1" w:themeFillShade="BF"/>
          </w:tcPr>
          <w:p w14:paraId="5FB37877" w14:textId="2BCDEBDE" w:rsidR="00055D18" w:rsidRPr="006C621B" w:rsidRDefault="00055D18" w:rsidP="00055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6C621B">
              <w:rPr>
                <w:sz w:val="22"/>
                <w:szCs w:val="22"/>
              </w:rPr>
              <w:t xml:space="preserve"> </w:t>
            </w:r>
            <w:r w:rsidRPr="006C621B">
              <w:rPr>
                <w:b/>
                <w:bCs/>
                <w:sz w:val="22"/>
                <w:szCs w:val="22"/>
              </w:rPr>
              <w:t xml:space="preserve">De kandidaat kan </w:t>
            </w:r>
            <w:r>
              <w:rPr>
                <w:b/>
                <w:bCs/>
                <w:sz w:val="22"/>
                <w:szCs w:val="22"/>
              </w:rPr>
              <w:t>boekingen en berekeningen maken in project georiënteerde handels- en dienstverlenende ondernemingen.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03216545" w14:textId="111C72CA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3336BB18" w14:textId="0B6C61D0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55B455F2" w14:textId="57F12567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025207AC" w14:textId="5934CD23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1FFD1466" w14:textId="59AEA70F" w:rsidR="00055D18" w:rsidRPr="006C621B" w:rsidRDefault="00055D18" w:rsidP="00055D18">
            <w:pPr>
              <w:jc w:val="center"/>
              <w:rPr>
                <w:rFonts w:ascii="Arial" w:hAnsi="Arial" w:cs="Arial"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Hoofd-stuk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F2E8F" w:rsidRPr="006C621B" w14:paraId="4D9B59DF" w14:textId="77777777" w:rsidTr="004A7EE4">
        <w:tc>
          <w:tcPr>
            <w:tcW w:w="704" w:type="dxa"/>
          </w:tcPr>
          <w:p w14:paraId="0E8D23CE" w14:textId="3356D2CB" w:rsidR="002F2E8F" w:rsidRPr="006C621B" w:rsidRDefault="007C0B0D" w:rsidP="004A7EE4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</w:p>
        </w:tc>
        <w:tc>
          <w:tcPr>
            <w:tcW w:w="5958" w:type="dxa"/>
          </w:tcPr>
          <w:p w14:paraId="57A348C9" w14:textId="46D2B268" w:rsidR="002F2E8F" w:rsidRPr="002F2E8F" w:rsidRDefault="00E8716B" w:rsidP="00E8716B">
            <w:pPr>
              <w:pStyle w:val="Default"/>
              <w:rPr>
                <w:sz w:val="22"/>
                <w:szCs w:val="22"/>
              </w:rPr>
            </w:pPr>
            <w:r w:rsidRPr="00E8716B">
              <w:rPr>
                <w:sz w:val="22"/>
                <w:szCs w:val="22"/>
              </w:rPr>
              <w:t>De kandidaat kan boekingen maken in projectadministraties van handels- en dienstverlenende ondernemingen.</w:t>
            </w:r>
          </w:p>
        </w:tc>
        <w:tc>
          <w:tcPr>
            <w:tcW w:w="388" w:type="dxa"/>
          </w:tcPr>
          <w:p w14:paraId="2E2C34A4" w14:textId="77777777" w:rsidR="002F2E8F" w:rsidRPr="006C621B" w:rsidRDefault="002F2E8F" w:rsidP="004A7EE4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70EC4773" w14:textId="77777777" w:rsidR="002F2E8F" w:rsidRPr="006C621B" w:rsidRDefault="002F2E8F" w:rsidP="004A7EE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337DF8BF" w14:textId="77777777" w:rsidR="002F2E8F" w:rsidRPr="006C621B" w:rsidRDefault="002F2E8F" w:rsidP="004A7EE4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02BC7582" w14:textId="77777777" w:rsidR="002F2E8F" w:rsidRPr="006C621B" w:rsidRDefault="002F2E8F" w:rsidP="004A7EE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2F49F99" w14:textId="2428E677" w:rsidR="002F2E8F" w:rsidRPr="006C621B" w:rsidRDefault="00052E32" w:rsidP="004A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94805" w:rsidRPr="006C621B" w14:paraId="7462DC47" w14:textId="77777777" w:rsidTr="004A7EE4">
        <w:tc>
          <w:tcPr>
            <w:tcW w:w="704" w:type="dxa"/>
          </w:tcPr>
          <w:p w14:paraId="50959423" w14:textId="3DED1774" w:rsidR="00494805" w:rsidRDefault="00494805" w:rsidP="00494805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</w:tc>
        <w:tc>
          <w:tcPr>
            <w:tcW w:w="5958" w:type="dxa"/>
          </w:tcPr>
          <w:p w14:paraId="1560F103" w14:textId="1852C001" w:rsidR="00494805" w:rsidRPr="00E8716B" w:rsidRDefault="00494805" w:rsidP="00494805">
            <w:pPr>
              <w:pStyle w:val="Default"/>
              <w:rPr>
                <w:sz w:val="22"/>
                <w:szCs w:val="22"/>
              </w:rPr>
            </w:pPr>
            <w:r w:rsidRPr="00E8716B">
              <w:rPr>
                <w:sz w:val="22"/>
                <w:szCs w:val="22"/>
              </w:rPr>
              <w:t>De kandidaat kan de resultaten per project berekenen.</w:t>
            </w:r>
          </w:p>
        </w:tc>
        <w:tc>
          <w:tcPr>
            <w:tcW w:w="388" w:type="dxa"/>
          </w:tcPr>
          <w:p w14:paraId="430AC1F4" w14:textId="77777777" w:rsidR="00494805" w:rsidRPr="006C621B" w:rsidRDefault="00494805" w:rsidP="00494805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0EBF7A85" w14:textId="77777777" w:rsidR="00494805" w:rsidRPr="006C621B" w:rsidRDefault="00494805" w:rsidP="00494805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62CC01BA" w14:textId="78643AA8" w:rsidR="00494805" w:rsidRPr="006C621B" w:rsidRDefault="00494805" w:rsidP="00494805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476B2C5D" w14:textId="77777777" w:rsidR="00494805" w:rsidRPr="006C621B" w:rsidRDefault="00494805" w:rsidP="0049480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591C5EC" w14:textId="30C987DA" w:rsidR="00494805" w:rsidRPr="006C621B" w:rsidRDefault="00052E32" w:rsidP="004948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055D18" w:rsidRPr="006C621B" w14:paraId="1569F713" w14:textId="77777777" w:rsidTr="008E3527">
        <w:tc>
          <w:tcPr>
            <w:tcW w:w="6662" w:type="dxa"/>
            <w:gridSpan w:val="2"/>
            <w:shd w:val="clear" w:color="auto" w:fill="BFBFBF" w:themeFill="background1" w:themeFillShade="BF"/>
          </w:tcPr>
          <w:p w14:paraId="2407F306" w14:textId="747AF31F" w:rsidR="00055D18" w:rsidRPr="006C621B" w:rsidRDefault="00055D18" w:rsidP="00055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6C621B">
              <w:rPr>
                <w:sz w:val="22"/>
                <w:szCs w:val="22"/>
              </w:rPr>
              <w:t xml:space="preserve"> </w:t>
            </w:r>
            <w:r w:rsidRPr="006C621B">
              <w:rPr>
                <w:b/>
                <w:bCs/>
                <w:sz w:val="22"/>
                <w:szCs w:val="22"/>
              </w:rPr>
              <w:t xml:space="preserve">De kandidaat kan </w:t>
            </w:r>
            <w:r>
              <w:rPr>
                <w:b/>
                <w:bCs/>
                <w:sz w:val="22"/>
                <w:szCs w:val="22"/>
              </w:rPr>
              <w:t>boekingen maken in een door een boekhoudpakket uitgedraaide kolommenbalans voor het opstellen van de jaarrekening.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6002E9A5" w14:textId="21680B92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6ACA4F2F" w14:textId="2F90922B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6E4C9BA8" w14:textId="584442F4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0BFC774B" w14:textId="4DC9617B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6F792414" w14:textId="41AD9987" w:rsidR="00055D18" w:rsidRPr="006C621B" w:rsidRDefault="00055D18" w:rsidP="00055D18">
            <w:pPr>
              <w:jc w:val="center"/>
              <w:rPr>
                <w:rFonts w:ascii="Arial" w:hAnsi="Arial" w:cs="Arial"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Hoofd-stuk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94805" w:rsidRPr="006C621B" w14:paraId="215E0D98" w14:textId="77777777" w:rsidTr="004A7EE4">
        <w:tc>
          <w:tcPr>
            <w:tcW w:w="704" w:type="dxa"/>
          </w:tcPr>
          <w:p w14:paraId="1D384548" w14:textId="3D20268B" w:rsidR="00494805" w:rsidRPr="006C621B" w:rsidRDefault="00494805" w:rsidP="004A7EE4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5958" w:type="dxa"/>
          </w:tcPr>
          <w:p w14:paraId="12C6A989" w14:textId="0B8DDC5C" w:rsidR="00494805" w:rsidRPr="00210C2A" w:rsidRDefault="00210C2A" w:rsidP="00210C2A">
            <w:pPr>
              <w:pStyle w:val="Default"/>
              <w:rPr>
                <w:sz w:val="22"/>
                <w:szCs w:val="22"/>
              </w:rPr>
            </w:pPr>
            <w:r w:rsidRPr="00210C2A">
              <w:rPr>
                <w:sz w:val="22"/>
                <w:szCs w:val="22"/>
              </w:rPr>
              <w:t>De kandidaat kan correctieboekingen maken van fouten in een door de kandidaat op juistheid gecontroleerd overzicht uit een computerboekhouding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8" w:type="dxa"/>
          </w:tcPr>
          <w:p w14:paraId="6A62A018" w14:textId="77777777" w:rsidR="00494805" w:rsidRPr="006C621B" w:rsidRDefault="00494805" w:rsidP="004A7EE4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64A4A2D1" w14:textId="77777777" w:rsidR="00494805" w:rsidRPr="006C621B" w:rsidRDefault="00494805" w:rsidP="004A7EE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1B070D8F" w14:textId="77777777" w:rsidR="00494805" w:rsidRPr="006C621B" w:rsidRDefault="00494805" w:rsidP="004A7EE4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789FF46C" w14:textId="77777777" w:rsidR="00494805" w:rsidRPr="006C621B" w:rsidRDefault="00494805" w:rsidP="004A7EE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B70CC65" w14:textId="0CE7F32F" w:rsidR="00494805" w:rsidRPr="006C621B" w:rsidRDefault="00052E32" w:rsidP="004A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94805" w:rsidRPr="006C621B" w14:paraId="6937E378" w14:textId="77777777" w:rsidTr="004A7EE4">
        <w:tc>
          <w:tcPr>
            <w:tcW w:w="704" w:type="dxa"/>
          </w:tcPr>
          <w:p w14:paraId="303C3DF6" w14:textId="0A842045" w:rsidR="00494805" w:rsidRDefault="00494805" w:rsidP="004A7EE4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5958" w:type="dxa"/>
          </w:tcPr>
          <w:p w14:paraId="1221D39F" w14:textId="5489FAEE" w:rsidR="00494805" w:rsidRPr="00210C2A" w:rsidRDefault="00210C2A" w:rsidP="00210C2A">
            <w:pPr>
              <w:pStyle w:val="Default"/>
              <w:rPr>
                <w:sz w:val="22"/>
                <w:szCs w:val="22"/>
              </w:rPr>
            </w:pPr>
            <w:r w:rsidRPr="00210C2A">
              <w:rPr>
                <w:sz w:val="22"/>
                <w:szCs w:val="22"/>
              </w:rPr>
              <w:t>De kandidaat kan boekingen maken van correcties in de kolommenbalans voor het opstellen van de jaarrekening.</w:t>
            </w:r>
          </w:p>
        </w:tc>
        <w:tc>
          <w:tcPr>
            <w:tcW w:w="388" w:type="dxa"/>
          </w:tcPr>
          <w:p w14:paraId="36C038A7" w14:textId="77777777" w:rsidR="00494805" w:rsidRPr="006C621B" w:rsidRDefault="00494805" w:rsidP="004A7EE4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074A39DC" w14:textId="77777777" w:rsidR="00494805" w:rsidRPr="006C621B" w:rsidRDefault="00494805" w:rsidP="004A7EE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459A6292" w14:textId="77777777" w:rsidR="00494805" w:rsidRPr="006C621B" w:rsidRDefault="00494805" w:rsidP="004A7EE4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4EC456FA" w14:textId="77777777" w:rsidR="00494805" w:rsidRPr="006C621B" w:rsidRDefault="00494805" w:rsidP="004A7EE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5D4989CA" w14:textId="1025DFF2" w:rsidR="00494805" w:rsidRPr="006C621B" w:rsidRDefault="00052E32" w:rsidP="004A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055D18" w:rsidRPr="006C621B" w14:paraId="286D7EF2" w14:textId="77777777" w:rsidTr="008E3527">
        <w:tc>
          <w:tcPr>
            <w:tcW w:w="6662" w:type="dxa"/>
            <w:gridSpan w:val="2"/>
            <w:shd w:val="clear" w:color="auto" w:fill="BFBFBF" w:themeFill="background1" w:themeFillShade="BF"/>
          </w:tcPr>
          <w:p w14:paraId="5D42C7EC" w14:textId="69A2999A" w:rsidR="00055D18" w:rsidRPr="006C621B" w:rsidRDefault="00055D18" w:rsidP="00055D1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6C621B">
              <w:rPr>
                <w:sz w:val="22"/>
                <w:szCs w:val="22"/>
              </w:rPr>
              <w:t xml:space="preserve"> </w:t>
            </w:r>
            <w:r w:rsidRPr="006C621B">
              <w:rPr>
                <w:b/>
                <w:bCs/>
                <w:sz w:val="22"/>
                <w:szCs w:val="22"/>
              </w:rPr>
              <w:t xml:space="preserve">De kandidaat kan </w:t>
            </w:r>
            <w:r>
              <w:rPr>
                <w:b/>
                <w:bCs/>
                <w:sz w:val="22"/>
                <w:szCs w:val="22"/>
              </w:rPr>
              <w:t>correcties boeken in de jaarrekening van een afgesloten boekjaar.</w:t>
            </w:r>
          </w:p>
        </w:tc>
        <w:tc>
          <w:tcPr>
            <w:tcW w:w="388" w:type="dxa"/>
            <w:shd w:val="clear" w:color="auto" w:fill="BFBFBF" w:themeFill="background1" w:themeFillShade="BF"/>
          </w:tcPr>
          <w:p w14:paraId="65FC911C" w14:textId="19B600D1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K</w:t>
            </w:r>
          </w:p>
        </w:tc>
        <w:tc>
          <w:tcPr>
            <w:tcW w:w="326" w:type="dxa"/>
            <w:shd w:val="clear" w:color="auto" w:fill="BFBFBF" w:themeFill="background1" w:themeFillShade="BF"/>
          </w:tcPr>
          <w:p w14:paraId="2557B9FD" w14:textId="764A0686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3" w:type="dxa"/>
            <w:shd w:val="clear" w:color="auto" w:fill="BFBFBF" w:themeFill="background1" w:themeFillShade="BF"/>
          </w:tcPr>
          <w:p w14:paraId="3186D815" w14:textId="10E93027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46" w:type="dxa"/>
            <w:shd w:val="clear" w:color="auto" w:fill="BFBFBF" w:themeFill="background1" w:themeFillShade="BF"/>
          </w:tcPr>
          <w:p w14:paraId="1D1C67CF" w14:textId="5CE90A2E" w:rsidR="00055D18" w:rsidRPr="006C621B" w:rsidRDefault="00055D18" w:rsidP="00055D18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987" w:type="dxa"/>
            <w:shd w:val="clear" w:color="auto" w:fill="BFBFBF" w:themeFill="background1" w:themeFillShade="BF"/>
          </w:tcPr>
          <w:p w14:paraId="65C7434B" w14:textId="73386185" w:rsidR="00055D18" w:rsidRPr="006C621B" w:rsidRDefault="00055D18" w:rsidP="00055D18">
            <w:pPr>
              <w:jc w:val="center"/>
              <w:rPr>
                <w:rFonts w:ascii="Arial" w:hAnsi="Arial" w:cs="Arial"/>
              </w:rPr>
            </w:pPr>
            <w:proofErr w:type="spellStart"/>
            <w:r w:rsidRPr="006C621B">
              <w:rPr>
                <w:rFonts w:ascii="Arial" w:hAnsi="Arial" w:cs="Arial"/>
                <w:b/>
              </w:rPr>
              <w:t>Hoofd-stuk</w:t>
            </w:r>
            <w:proofErr w:type="spellEnd"/>
            <w:r w:rsidRPr="006C621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10C2A" w:rsidRPr="006C621B" w14:paraId="090B88DA" w14:textId="77777777" w:rsidTr="004A7EE4">
        <w:tc>
          <w:tcPr>
            <w:tcW w:w="704" w:type="dxa"/>
          </w:tcPr>
          <w:p w14:paraId="0BABD692" w14:textId="72D67EB8" w:rsidR="00210C2A" w:rsidRPr="006C621B" w:rsidRDefault="008E6CDD" w:rsidP="004A7EE4">
            <w:pPr>
              <w:ind w:right="-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10C2A">
              <w:rPr>
                <w:rFonts w:ascii="Arial" w:hAnsi="Arial" w:cs="Arial"/>
              </w:rPr>
              <w:t>.1</w:t>
            </w:r>
          </w:p>
        </w:tc>
        <w:tc>
          <w:tcPr>
            <w:tcW w:w="5958" w:type="dxa"/>
          </w:tcPr>
          <w:p w14:paraId="5A534B8C" w14:textId="3E27BBB0" w:rsidR="00210C2A" w:rsidRPr="00210C2A" w:rsidRDefault="008E60D8" w:rsidP="008E60D8">
            <w:pPr>
              <w:pStyle w:val="Default"/>
              <w:rPr>
                <w:sz w:val="22"/>
                <w:szCs w:val="22"/>
              </w:rPr>
            </w:pPr>
            <w:r w:rsidRPr="008E60D8">
              <w:rPr>
                <w:sz w:val="22"/>
                <w:szCs w:val="22"/>
              </w:rPr>
              <w:t xml:space="preserve">De kandidaat kan boekingen maken van correcties in de jaarrekening van een afgesloten boekjaar. </w:t>
            </w:r>
          </w:p>
        </w:tc>
        <w:tc>
          <w:tcPr>
            <w:tcW w:w="388" w:type="dxa"/>
          </w:tcPr>
          <w:p w14:paraId="48860FA7" w14:textId="77777777" w:rsidR="00210C2A" w:rsidRPr="006C621B" w:rsidRDefault="00210C2A" w:rsidP="004A7EE4">
            <w:pPr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5A1352AE" w14:textId="77777777" w:rsidR="00210C2A" w:rsidRPr="006C621B" w:rsidRDefault="00210C2A" w:rsidP="004A7EE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14:paraId="3257D552" w14:textId="77777777" w:rsidR="00210C2A" w:rsidRPr="006C621B" w:rsidRDefault="00210C2A" w:rsidP="004A7EE4">
            <w:pPr>
              <w:rPr>
                <w:rFonts w:ascii="Arial" w:hAnsi="Arial" w:cs="Arial"/>
              </w:rPr>
            </w:pPr>
            <w:r w:rsidRPr="006C621B">
              <w:rPr>
                <w:rFonts w:ascii="Arial" w:hAnsi="Arial" w:cs="Arial"/>
              </w:rPr>
              <w:t>X</w:t>
            </w:r>
          </w:p>
        </w:tc>
        <w:tc>
          <w:tcPr>
            <w:tcW w:w="346" w:type="dxa"/>
          </w:tcPr>
          <w:p w14:paraId="6E9F8B25" w14:textId="77777777" w:rsidR="00210C2A" w:rsidRPr="006C621B" w:rsidRDefault="00210C2A" w:rsidP="004A7EE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9A9FAE8" w14:textId="45A697B9" w:rsidR="00210C2A" w:rsidRPr="006C621B" w:rsidRDefault="00052E32" w:rsidP="004A7E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441D09F7" w14:textId="77777777" w:rsidR="00FC3C1C" w:rsidRPr="006C621B" w:rsidRDefault="00FC3C1C" w:rsidP="00FC3C1C">
      <w:pPr>
        <w:spacing w:after="0" w:line="240" w:lineRule="auto"/>
        <w:rPr>
          <w:rFonts w:ascii="Arial" w:hAnsi="Arial" w:cs="Arial"/>
        </w:rPr>
      </w:pPr>
    </w:p>
    <w:p w14:paraId="29141156" w14:textId="77777777" w:rsidR="00FC3C1C" w:rsidRPr="006C621B" w:rsidRDefault="00FC3C1C" w:rsidP="00CB4F94">
      <w:pPr>
        <w:spacing w:after="0" w:line="240" w:lineRule="auto"/>
        <w:rPr>
          <w:rFonts w:ascii="Arial" w:hAnsi="Arial" w:cs="Arial"/>
        </w:rPr>
      </w:pPr>
    </w:p>
    <w:sectPr w:rsidR="00FC3C1C" w:rsidRPr="006C62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D6436" w14:textId="77777777" w:rsidR="00125886" w:rsidRDefault="00125886" w:rsidP="00901965">
      <w:pPr>
        <w:spacing w:after="0" w:line="240" w:lineRule="auto"/>
      </w:pPr>
      <w:r>
        <w:separator/>
      </w:r>
    </w:p>
  </w:endnote>
  <w:endnote w:type="continuationSeparator" w:id="0">
    <w:p w14:paraId="2CAAA652" w14:textId="77777777" w:rsidR="00125886" w:rsidRDefault="00125886" w:rsidP="0090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5A10" w14:textId="0DC3AF0A" w:rsidR="00901965" w:rsidRPr="00CD2D33" w:rsidRDefault="008843AC" w:rsidP="00901965">
    <w:pPr>
      <w:pStyle w:val="Voettekst"/>
    </w:pPr>
    <w:r>
      <w:rPr>
        <w:i/>
      </w:rPr>
      <w:t>MBA</w:t>
    </w:r>
    <w:r w:rsidR="00FC3C1C">
      <w:rPr>
        <w:i/>
      </w:rPr>
      <w:t xml:space="preserve"> Bedrijfsadministratie</w:t>
    </w:r>
    <w:r w:rsidR="00901965" w:rsidRPr="0059465D">
      <w:rPr>
        <w:i/>
      </w:rPr>
      <w:t xml:space="preserve"> met resultaat</w:t>
    </w:r>
    <w:r w:rsidR="00901965">
      <w:rPr>
        <w:i/>
      </w:rPr>
      <w:t xml:space="preserve"> </w:t>
    </w:r>
    <w:r w:rsidR="008B2495">
      <w:rPr>
        <w:i/>
      </w:rPr>
      <w:t xml:space="preserve">                                    </w:t>
    </w:r>
    <w:r w:rsidR="00901965">
      <w:rPr>
        <w:i/>
      </w:rPr>
      <w:tab/>
    </w:r>
    <w:r w:rsidR="00901965" w:rsidRPr="00C14DB3">
      <w:rPr>
        <w:sz w:val="20"/>
        <w:szCs w:val="20"/>
      </w:rPr>
      <w:t>© Convoy Uitgevers</w:t>
    </w:r>
  </w:p>
  <w:p w14:paraId="5F74D8D9" w14:textId="77777777" w:rsidR="00901965" w:rsidRDefault="009019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29C9B" w14:textId="77777777" w:rsidR="00125886" w:rsidRDefault="00125886" w:rsidP="00901965">
      <w:pPr>
        <w:spacing w:after="0" w:line="240" w:lineRule="auto"/>
      </w:pPr>
      <w:r>
        <w:separator/>
      </w:r>
    </w:p>
  </w:footnote>
  <w:footnote w:type="continuationSeparator" w:id="0">
    <w:p w14:paraId="2FD832DE" w14:textId="77777777" w:rsidR="00125886" w:rsidRDefault="00125886" w:rsidP="0090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0977" w14:textId="400FB286" w:rsidR="00901965" w:rsidRPr="00A979E8" w:rsidRDefault="00901965" w:rsidP="00A979E8">
    <w:pPr>
      <w:pStyle w:val="Koptekst"/>
      <w:jc w:val="center"/>
      <w:rPr>
        <w:i/>
      </w:rPr>
    </w:pPr>
    <w:r>
      <w:rPr>
        <w:i/>
      </w:rPr>
      <w:t xml:space="preserve">Exameninformatie </w:t>
    </w:r>
    <w:r w:rsidR="00AA0641">
      <w:rPr>
        <w:i/>
      </w:rPr>
      <w:t>MBA</w:t>
    </w:r>
    <w:r w:rsidR="00FC3C1C">
      <w:rPr>
        <w:i/>
      </w:rPr>
      <w:t xml:space="preserve"> Bedrijfsadministratie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86DCF"/>
    <w:multiLevelType w:val="hybridMultilevel"/>
    <w:tmpl w:val="D9D425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026F"/>
    <w:multiLevelType w:val="multilevel"/>
    <w:tmpl w:val="E7BE2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50514818">
    <w:abstractNumId w:val="1"/>
  </w:num>
  <w:num w:numId="2" w16cid:durableId="15834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4"/>
    <w:rsid w:val="000221C1"/>
    <w:rsid w:val="00052E32"/>
    <w:rsid w:val="00055D18"/>
    <w:rsid w:val="000B31DA"/>
    <w:rsid w:val="00125886"/>
    <w:rsid w:val="001E25C4"/>
    <w:rsid w:val="001E56D0"/>
    <w:rsid w:val="00202E2D"/>
    <w:rsid w:val="00206448"/>
    <w:rsid w:val="00210C2A"/>
    <w:rsid w:val="00211CD7"/>
    <w:rsid w:val="002330B2"/>
    <w:rsid w:val="00255823"/>
    <w:rsid w:val="002B1867"/>
    <w:rsid w:val="002B41E9"/>
    <w:rsid w:val="002C60B6"/>
    <w:rsid w:val="002E15E7"/>
    <w:rsid w:val="002F2E8F"/>
    <w:rsid w:val="002F3BC3"/>
    <w:rsid w:val="00397DA0"/>
    <w:rsid w:val="003A68EF"/>
    <w:rsid w:val="003C5C89"/>
    <w:rsid w:val="00405480"/>
    <w:rsid w:val="00416145"/>
    <w:rsid w:val="00422C52"/>
    <w:rsid w:val="00426ACF"/>
    <w:rsid w:val="004274E5"/>
    <w:rsid w:val="00494805"/>
    <w:rsid w:val="004B238B"/>
    <w:rsid w:val="004B5ECD"/>
    <w:rsid w:val="004C1D61"/>
    <w:rsid w:val="004E5EEB"/>
    <w:rsid w:val="004E5F30"/>
    <w:rsid w:val="004F66A7"/>
    <w:rsid w:val="00575ED8"/>
    <w:rsid w:val="00585C6B"/>
    <w:rsid w:val="00587F97"/>
    <w:rsid w:val="005B23A7"/>
    <w:rsid w:val="005B2AD0"/>
    <w:rsid w:val="006C621B"/>
    <w:rsid w:val="006C742A"/>
    <w:rsid w:val="006E4F8E"/>
    <w:rsid w:val="007347C5"/>
    <w:rsid w:val="0076183B"/>
    <w:rsid w:val="00781273"/>
    <w:rsid w:val="007A6ADB"/>
    <w:rsid w:val="007C0B0D"/>
    <w:rsid w:val="008025EC"/>
    <w:rsid w:val="00821144"/>
    <w:rsid w:val="008843AC"/>
    <w:rsid w:val="0089209D"/>
    <w:rsid w:val="008B2495"/>
    <w:rsid w:val="008E3527"/>
    <w:rsid w:val="008E60D8"/>
    <w:rsid w:val="008E6CDD"/>
    <w:rsid w:val="00901764"/>
    <w:rsid w:val="00901965"/>
    <w:rsid w:val="0090419E"/>
    <w:rsid w:val="00922C50"/>
    <w:rsid w:val="00992EFD"/>
    <w:rsid w:val="009A7CFE"/>
    <w:rsid w:val="009E15B2"/>
    <w:rsid w:val="009F76EC"/>
    <w:rsid w:val="00A4096A"/>
    <w:rsid w:val="00A41E64"/>
    <w:rsid w:val="00A979E8"/>
    <w:rsid w:val="00AA0641"/>
    <w:rsid w:val="00AF7A4F"/>
    <w:rsid w:val="00B2026C"/>
    <w:rsid w:val="00B20488"/>
    <w:rsid w:val="00B375EE"/>
    <w:rsid w:val="00B73A10"/>
    <w:rsid w:val="00B958B4"/>
    <w:rsid w:val="00B9648A"/>
    <w:rsid w:val="00BA5631"/>
    <w:rsid w:val="00BC6FF8"/>
    <w:rsid w:val="00C507FC"/>
    <w:rsid w:val="00CA7578"/>
    <w:rsid w:val="00CB4F94"/>
    <w:rsid w:val="00CD3BDA"/>
    <w:rsid w:val="00D037A4"/>
    <w:rsid w:val="00D145A1"/>
    <w:rsid w:val="00D52EDA"/>
    <w:rsid w:val="00D579E1"/>
    <w:rsid w:val="00D72E1F"/>
    <w:rsid w:val="00DB05CB"/>
    <w:rsid w:val="00DB26FF"/>
    <w:rsid w:val="00E71A76"/>
    <w:rsid w:val="00E8716B"/>
    <w:rsid w:val="00EF0421"/>
    <w:rsid w:val="00F1176E"/>
    <w:rsid w:val="00F31A7E"/>
    <w:rsid w:val="00F77D63"/>
    <w:rsid w:val="00F81F4E"/>
    <w:rsid w:val="00FB3465"/>
    <w:rsid w:val="00FC329B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7151E7"/>
  <w15:docId w15:val="{269C2CA2-2A19-402D-9BE6-E8547599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22C5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922C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25C4"/>
    <w:pPr>
      <w:ind w:left="720"/>
      <w:contextualSpacing/>
    </w:pPr>
  </w:style>
  <w:style w:type="table" w:styleId="Tabelraster">
    <w:name w:val="Table Grid"/>
    <w:basedOn w:val="Standaardtabel"/>
    <w:uiPriority w:val="39"/>
    <w:rsid w:val="001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0196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196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1965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1965"/>
  </w:style>
  <w:style w:type="paragraph" w:styleId="Voettekst">
    <w:name w:val="footer"/>
    <w:basedOn w:val="Standaard"/>
    <w:link w:val="VoettekstChar"/>
    <w:uiPriority w:val="99"/>
    <w:unhideWhenUsed/>
    <w:rsid w:val="0090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1965"/>
  </w:style>
  <w:style w:type="paragraph" w:styleId="Revisie">
    <w:name w:val="Revision"/>
    <w:hidden/>
    <w:uiPriority w:val="99"/>
    <w:semiHidden/>
    <w:rsid w:val="00A979E8"/>
    <w:pPr>
      <w:spacing w:after="0" w:line="240" w:lineRule="auto"/>
    </w:pPr>
  </w:style>
  <w:style w:type="paragraph" w:customStyle="1" w:styleId="Default">
    <w:name w:val="Default"/>
    <w:rsid w:val="00FC3C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922C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22C5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92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Henny Krom</cp:lastModifiedBy>
  <cp:revision>2</cp:revision>
  <cp:lastPrinted>2021-08-16T10:25:00Z</cp:lastPrinted>
  <dcterms:created xsi:type="dcterms:W3CDTF">2024-08-05T08:10:00Z</dcterms:created>
  <dcterms:modified xsi:type="dcterms:W3CDTF">2024-08-05T08:10:00Z</dcterms:modified>
</cp:coreProperties>
</file>